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hint="eastAsia" w:ascii="黑体" w:hAnsi="黑体" w:eastAsia="黑体" w:cs="黑体"/>
          <w:b/>
          <w:bCs w:val="0"/>
          <w:kern w:val="0"/>
          <w:sz w:val="32"/>
          <w:szCs w:val="32"/>
          <w:shd w:val="clear" w:color="auto" w:fill="FFFFFF"/>
          <w:lang w:val="en-US" w:eastAsia="zh-CN" w:bidi="ar-SA"/>
        </w:rPr>
      </w:pPr>
      <w:r>
        <w:rPr>
          <w:rFonts w:hint="eastAsia" w:ascii="黑体" w:hAnsi="黑体" w:eastAsia="黑体" w:cs="黑体"/>
          <w:b/>
          <w:bCs w:val="0"/>
          <w:kern w:val="0"/>
          <w:sz w:val="32"/>
          <w:szCs w:val="32"/>
          <w:shd w:val="clear" w:color="auto" w:fill="FFFFFF"/>
          <w:lang w:val="en-US" w:eastAsia="zh-CN" w:bidi="ar-SA"/>
        </w:rPr>
        <w:t>附件1</w:t>
      </w: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hint="default" w:ascii="方正小标宋简体" w:hAnsi="方正小标宋简体" w:eastAsia="方正小标宋简体" w:cs="方正小标宋简体"/>
          <w:b w:val="0"/>
          <w:bCs/>
          <w:kern w:val="0"/>
          <w:sz w:val="44"/>
          <w:szCs w:val="44"/>
          <w:shd w:val="clear" w:color="auto" w:fill="FFFFFF"/>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center"/>
        <w:textAlignment w:val="auto"/>
        <w:rPr>
          <w:rFonts w:ascii="华文仿宋" w:hAnsi="华文仿宋" w:eastAsia="华文仿宋" w:cs="华文仿宋"/>
          <w:kern w:val="0"/>
          <w:sz w:val="32"/>
          <w:szCs w:val="32"/>
          <w:lang w:val="en-US" w:eastAsia="zh-CN" w:bidi="ar-SA"/>
        </w:rPr>
      </w:pPr>
      <w:r>
        <w:rPr>
          <w:rFonts w:hint="eastAsia" w:ascii="方正小标宋简体" w:hAnsi="方正小标宋简体" w:eastAsia="方正小标宋简体" w:cs="方正小标宋简体"/>
          <w:b w:val="0"/>
          <w:bCs/>
          <w:kern w:val="0"/>
          <w:sz w:val="44"/>
          <w:szCs w:val="44"/>
          <w:shd w:val="clear" w:color="auto" w:fill="FFFFFF"/>
          <w:lang w:val="en-US" w:eastAsia="zh-CN" w:bidi="ar-SA"/>
        </w:rPr>
        <w:t>技术先进型服务业务认定范围（试行）</w:t>
      </w: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kern w:val="0"/>
          <w:sz w:val="32"/>
          <w:szCs w:val="32"/>
          <w:shd w:val="clear" w:color="auto" w:fill="FFFFFF"/>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Cs/>
          <w:kern w:val="0"/>
          <w:sz w:val="32"/>
          <w:szCs w:val="32"/>
          <w:lang w:val="en-US" w:eastAsia="zh-CN" w:bidi="ar-SA"/>
        </w:rPr>
      </w:pPr>
      <w:r>
        <w:rPr>
          <w:rFonts w:hint="eastAsia" w:ascii="黑体" w:hAnsi="黑体" w:eastAsia="黑体" w:cs="黑体"/>
          <w:b w:val="0"/>
          <w:bCs/>
          <w:kern w:val="0"/>
          <w:sz w:val="32"/>
          <w:szCs w:val="32"/>
          <w:shd w:val="clear" w:color="auto" w:fill="FFFFFF"/>
          <w:lang w:val="en-US" w:eastAsia="zh-CN" w:bidi="ar-SA"/>
        </w:rPr>
        <w:t>一、信息技术外包服务（ITO）</w:t>
      </w: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shd w:val="clear" w:color="auto" w:fill="FFFFFF"/>
          <w:lang w:val="en-US" w:eastAsia="zh-CN" w:bidi="ar-SA"/>
        </w:rPr>
        <w:t>（一）软件研发及外包</w:t>
      </w:r>
    </w:p>
    <w:tbl>
      <w:tblPr>
        <w:tblStyle w:val="4"/>
        <w:tblW w:w="4999" w:type="pct"/>
        <w:tblInd w:w="-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2375"/>
        <w:gridCol w:w="59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Header/>
        </w:trPr>
        <w:tc>
          <w:tcPr>
            <w:tcW w:w="23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类别</w:t>
            </w:r>
          </w:p>
        </w:tc>
        <w:tc>
          <w:tcPr>
            <w:tcW w:w="59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软件研发及开发服务</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软件技术服务</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软件咨询、维护、培训、测试等技术性服务。</w:t>
            </w:r>
          </w:p>
        </w:tc>
      </w:tr>
    </w:tbl>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ascii="CESI楷体-GB2312" w:hAnsi="CESI楷体-GB2312" w:eastAsia="CESI楷体-GB2312" w:cs="CESI楷体-GB2312"/>
          <w:kern w:val="0"/>
          <w:sz w:val="32"/>
          <w:szCs w:val="32"/>
          <w:shd w:val="clear" w:color="auto" w:fill="FFFFFF"/>
          <w:lang w:val="en-US" w:eastAsia="zh-CN" w:bidi="ar-SA"/>
        </w:rPr>
      </w:pPr>
      <w:r>
        <w:rPr>
          <w:rFonts w:hint="eastAsia" w:ascii="华文仿宋" w:hAnsi="华文仿宋" w:eastAsia="华文仿宋" w:cs="华文仿宋"/>
          <w:kern w:val="0"/>
          <w:sz w:val="32"/>
          <w:szCs w:val="32"/>
          <w:shd w:val="clear" w:color="auto" w:fill="FFFFFF"/>
          <w:lang w:val="en-US" w:eastAsia="zh-CN" w:bidi="ar-SA"/>
        </w:rPr>
        <w:t>　　</w:t>
      </w:r>
      <w:r>
        <w:rPr>
          <w:rFonts w:hint="eastAsia" w:ascii="楷体_GB2312" w:hAnsi="楷体_GB2312" w:eastAsia="楷体_GB2312" w:cs="楷体_GB2312"/>
          <w:kern w:val="0"/>
          <w:sz w:val="32"/>
          <w:szCs w:val="32"/>
          <w:shd w:val="clear" w:color="auto" w:fill="FFFFFF"/>
          <w:lang w:val="en-US" w:eastAsia="zh-CN" w:bidi="ar-SA"/>
        </w:rPr>
        <w:t>（二）信息技术研发服务外包</w:t>
      </w:r>
    </w:p>
    <w:tbl>
      <w:tblPr>
        <w:tblStyle w:val="4"/>
        <w:tblW w:w="4999" w:type="pct"/>
        <w:tblInd w:w="-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2375"/>
        <w:gridCol w:w="59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Header/>
        </w:trPr>
        <w:tc>
          <w:tcPr>
            <w:tcW w:w="23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类别</w:t>
            </w:r>
          </w:p>
        </w:tc>
        <w:tc>
          <w:tcPr>
            <w:tcW w:w="59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集成电路和电子电路设计</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集成电路和电子电路产品设计以及相关技术支持服务等。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测试平台</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为软件、集成电路和电子电路的开发运用提供测试平台。</w:t>
            </w:r>
          </w:p>
        </w:tc>
      </w:tr>
    </w:tbl>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hint="eastAsia" w:ascii="楷体_GB2312" w:hAnsi="楷体_GB2312" w:eastAsia="楷体_GB2312" w:cs="楷体_GB2312"/>
          <w:kern w:val="0"/>
          <w:sz w:val="32"/>
          <w:szCs w:val="32"/>
          <w:shd w:val="clear" w:color="auto" w:fill="FFFFFF"/>
          <w:lang w:val="en-US" w:eastAsia="zh-CN" w:bidi="ar-SA"/>
        </w:rPr>
      </w:pPr>
      <w:r>
        <w:rPr>
          <w:rFonts w:hint="eastAsia" w:ascii="华文仿宋" w:hAnsi="华文仿宋" w:eastAsia="华文仿宋" w:cs="华文仿宋"/>
          <w:kern w:val="0"/>
          <w:sz w:val="32"/>
          <w:szCs w:val="32"/>
          <w:shd w:val="clear" w:color="auto" w:fill="FFFFFF"/>
          <w:lang w:val="en-US" w:eastAsia="zh-CN" w:bidi="ar-SA"/>
        </w:rPr>
        <w:t>　　</w:t>
      </w:r>
      <w:r>
        <w:rPr>
          <w:rFonts w:hint="eastAsia" w:ascii="楷体_GB2312" w:hAnsi="楷体_GB2312" w:eastAsia="楷体_GB2312" w:cs="楷体_GB2312"/>
          <w:kern w:val="0"/>
          <w:sz w:val="32"/>
          <w:szCs w:val="32"/>
          <w:shd w:val="clear" w:color="auto" w:fill="FFFFFF"/>
          <w:lang w:val="en-US" w:eastAsia="zh-CN" w:bidi="ar-SA"/>
        </w:rPr>
        <w:t>（三）信息系统运营维护外包</w:t>
      </w:r>
    </w:p>
    <w:tbl>
      <w:tblPr>
        <w:tblStyle w:val="4"/>
        <w:tblW w:w="4999" w:type="pct"/>
        <w:tblInd w:w="-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2375"/>
        <w:gridCol w:w="59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Header/>
        </w:trPr>
        <w:tc>
          <w:tcPr>
            <w:tcW w:w="23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类别</w:t>
            </w:r>
          </w:p>
        </w:tc>
        <w:tc>
          <w:tcPr>
            <w:tcW w:w="59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信息系统运营和维护服务</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客户内部信息系统集成、网络管理、桌面管理与维护服务；信息工程、地理信息系统、远程维护等信息系统应用服务。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基础信息技术服务</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基础信息技术管理平台整合、IT基础设施管理、数据中心、托管中心、安全服务、通讯服务等基础信息技术服务。</w:t>
            </w:r>
          </w:p>
        </w:tc>
      </w:tr>
    </w:tbl>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ascii="方正黑体_GBK" w:hAnsi="方正黑体_GBK" w:eastAsia="方正黑体_GBK" w:cs="方正黑体_GBK"/>
          <w:b w:val="0"/>
          <w:bCs/>
          <w:kern w:val="0"/>
          <w:sz w:val="32"/>
          <w:szCs w:val="32"/>
          <w:shd w:val="clear" w:color="auto" w:fill="FFFFFF"/>
          <w:lang w:val="en-US" w:eastAsia="zh-CN" w:bidi="ar-SA"/>
        </w:rPr>
      </w:pPr>
      <w:r>
        <w:rPr>
          <w:rFonts w:hint="eastAsia" w:ascii="华文仿宋" w:hAnsi="华文仿宋" w:eastAsia="华文仿宋" w:cs="华文仿宋"/>
          <w:kern w:val="0"/>
          <w:sz w:val="32"/>
          <w:szCs w:val="32"/>
          <w:shd w:val="clear" w:color="auto" w:fill="FFFFFF"/>
          <w:lang w:val="en-US" w:eastAsia="zh-CN" w:bidi="ar-SA"/>
        </w:rPr>
        <w:t>　</w:t>
      </w:r>
      <w:r>
        <w:rPr>
          <w:rFonts w:hint="eastAsia" w:ascii="华文仿宋" w:hAnsi="华文仿宋" w:eastAsia="华文仿宋" w:cs="华文仿宋"/>
          <w:b/>
          <w:kern w:val="0"/>
          <w:sz w:val="32"/>
          <w:szCs w:val="32"/>
          <w:shd w:val="clear" w:color="auto" w:fill="FFFFFF"/>
          <w:lang w:val="en-US" w:eastAsia="zh-CN" w:bidi="ar-SA"/>
        </w:rPr>
        <w:t>　</w:t>
      </w:r>
      <w:r>
        <w:rPr>
          <w:rFonts w:hint="eastAsia" w:ascii="黑体" w:hAnsi="黑体" w:eastAsia="黑体" w:cs="黑体"/>
          <w:b w:val="0"/>
          <w:bCs/>
          <w:kern w:val="0"/>
          <w:sz w:val="32"/>
          <w:szCs w:val="32"/>
          <w:shd w:val="clear" w:color="auto" w:fill="FFFFFF"/>
          <w:lang w:val="en-US" w:eastAsia="zh-CN" w:bidi="ar-SA"/>
        </w:rPr>
        <w:t>二、技术性业务流程外包服务（BPO）</w:t>
      </w:r>
    </w:p>
    <w:tbl>
      <w:tblPr>
        <w:tblStyle w:val="4"/>
        <w:tblW w:w="4999" w:type="pct"/>
        <w:tblInd w:w="-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2375"/>
        <w:gridCol w:w="59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Header/>
        </w:trPr>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类别</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企业业务流程设计服务</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为客户企业提供内部管理、业务运作等流程设计服务。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企业内部管理服务</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为客户企业提供后台管理、人力资源管理、财务、审计与税务管理、金融支付服务、医疗数据及其他内部管理业务的数据分析、数据挖掘、数据管理、数据使用的服务；承接客户专业数据处理、分析和整合服务。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企业运营服务</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427"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企业供应链管理服务</w:t>
            </w:r>
          </w:p>
        </w:tc>
        <w:tc>
          <w:tcPr>
            <w:tcW w:w="3572" w:type="pc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为客户企业提供采购、物流的整体方案设计及数据库服务。</w:t>
            </w:r>
          </w:p>
        </w:tc>
      </w:tr>
    </w:tbl>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hint="eastAsia" w:ascii="华文仿宋" w:hAnsi="华文仿宋" w:eastAsia="华文仿宋" w:cs="华文仿宋"/>
          <w:kern w:val="0"/>
          <w:sz w:val="32"/>
          <w:szCs w:val="32"/>
          <w:shd w:val="clear" w:color="auto" w:fill="FFFFFF"/>
          <w:lang w:val="en-US" w:eastAsia="zh-CN" w:bidi="ar-SA"/>
        </w:rPr>
      </w:pPr>
      <w:r>
        <w:rPr>
          <w:rFonts w:hint="eastAsia" w:ascii="华文仿宋" w:hAnsi="华文仿宋" w:eastAsia="华文仿宋" w:cs="华文仿宋"/>
          <w:kern w:val="0"/>
          <w:sz w:val="32"/>
          <w:szCs w:val="32"/>
          <w:shd w:val="clear" w:color="auto" w:fill="FFFFFF"/>
          <w:lang w:val="en-US" w:eastAsia="zh-CN" w:bidi="ar-SA"/>
        </w:rPr>
        <w:t>　　</w:t>
      </w: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hint="eastAsia" w:ascii="华文仿宋" w:hAnsi="华文仿宋" w:eastAsia="华文仿宋" w:cs="华文仿宋"/>
          <w:kern w:val="0"/>
          <w:sz w:val="32"/>
          <w:szCs w:val="32"/>
          <w:shd w:val="clear" w:color="auto" w:fill="FFFFFF"/>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hint="eastAsia" w:ascii="华文仿宋" w:hAnsi="华文仿宋" w:eastAsia="华文仿宋" w:cs="华文仿宋"/>
          <w:kern w:val="0"/>
          <w:sz w:val="32"/>
          <w:szCs w:val="32"/>
          <w:shd w:val="clear" w:color="auto" w:fill="FFFFFF"/>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ascii="方正黑体_GBK" w:hAnsi="方正黑体_GBK" w:eastAsia="方正黑体_GBK" w:cs="方正黑体_GBK"/>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三、技术性知识流程外包服务（KPO）</w:t>
      </w:r>
    </w:p>
    <w:tbl>
      <w:tblPr>
        <w:tblStyle w:val="4"/>
        <w:tblW w:w="0" w:type="auto"/>
        <w:tblInd w:w="-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832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kern w:val="0"/>
                <w:sz w:val="32"/>
                <w:szCs w:val="32"/>
                <w:lang w:val="en-US" w:eastAsia="zh-CN" w:bidi="ar-SA"/>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知识产权研究、医药和生物技术研发和测试、产品技术研发、工业设计、分析学和数据挖掘、动漫及网游设计研发、教育课件研发、工程设计等领域。</w:t>
            </w:r>
          </w:p>
        </w:tc>
      </w:tr>
    </w:tbl>
    <w:p>
      <w:pPr>
        <w:keepNext w:val="0"/>
        <w:keepLines w:val="0"/>
        <w:pageBreakBefore w:val="0"/>
        <w:widowControl/>
        <w:numPr>
          <w:ilvl w:val="0"/>
          <w:numId w:val="1"/>
        </w:numPr>
        <w:shd w:val="clear" w:color="auto" w:fill="FFFFFF"/>
        <w:kinsoku/>
        <w:overflowPunct/>
        <w:topLinePunct w:val="0"/>
        <w:autoSpaceDE/>
        <w:autoSpaceDN/>
        <w:bidi w:val="0"/>
        <w:adjustRightInd/>
        <w:snapToGrid/>
        <w:spacing w:before="0" w:beforeAutospacing="0" w:after="0" w:afterAutospacing="0" w:line="550" w:lineRule="exact"/>
        <w:ind w:left="0" w:leftChars="0" w:firstLine="624" w:firstLineChars="0"/>
        <w:jc w:val="left"/>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服务贸易类</w:t>
      </w: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left"/>
        <w:textAlignment w:val="auto"/>
        <w:rPr>
          <w:rFonts w:hint="eastAsia" w:ascii="楷体_GB2312" w:hAnsi="楷体_GB2312" w:eastAsia="楷体_GB2312" w:cs="楷体_GB2312"/>
          <w:b w:val="0"/>
          <w:bCs/>
          <w:kern w:val="0"/>
          <w:sz w:val="32"/>
          <w:szCs w:val="32"/>
          <w:shd w:val="clear" w:color="auto" w:fill="FFFFFF"/>
          <w:lang w:val="en-US" w:eastAsia="zh-CN" w:bidi="ar-SA"/>
        </w:rPr>
      </w:pPr>
      <w:r>
        <w:rPr>
          <w:rFonts w:hint="eastAsia" w:ascii="楷体_GB2312" w:hAnsi="楷体_GB2312" w:eastAsia="楷体_GB2312" w:cs="楷体_GB2312"/>
          <w:b w:val="0"/>
          <w:bCs/>
          <w:kern w:val="0"/>
          <w:sz w:val="32"/>
          <w:szCs w:val="32"/>
          <w:shd w:val="clear" w:color="auto" w:fill="FFFFFF"/>
          <w:lang w:val="en-US" w:eastAsia="zh-CN" w:bidi="ar-SA"/>
        </w:rPr>
        <w:t>　　</w:t>
      </w:r>
      <w:r>
        <w:rPr>
          <w:rFonts w:hint="eastAsia" w:ascii="楷体_GB2312" w:hAnsi="楷体_GB2312" w:eastAsia="楷体_GB2312" w:cs="楷体_GB2312"/>
          <w:kern w:val="0"/>
          <w:sz w:val="32"/>
          <w:szCs w:val="32"/>
          <w:shd w:val="clear" w:color="auto" w:fill="FFFFFF"/>
          <w:lang w:val="en-US" w:eastAsia="zh-CN" w:bidi="ar-SA"/>
        </w:rPr>
        <w:t>（一）计算机和信息服务</w:t>
      </w:r>
    </w:p>
    <w:tbl>
      <w:tblPr>
        <w:tblStyle w:val="4"/>
        <w:tblW w:w="4998" w:type="pct"/>
        <w:tblInd w:w="0" w:type="dxa"/>
        <w:shd w:val="clear" w:color="auto" w:fill="FFFFFF"/>
        <w:tblLayout w:type="autofit"/>
        <w:tblCellMar>
          <w:top w:w="0" w:type="dxa"/>
          <w:left w:w="0" w:type="dxa"/>
          <w:bottom w:w="0" w:type="dxa"/>
          <w:right w:w="0" w:type="dxa"/>
        </w:tblCellMar>
      </w:tblPr>
      <w:tblGrid>
        <w:gridCol w:w="1532"/>
        <w:gridCol w:w="6911"/>
      </w:tblGrid>
      <w:tr>
        <w:tblPrEx>
          <w:shd w:val="clear" w:color="auto" w:fill="FFFFFF"/>
          <w:tblCellMar>
            <w:top w:w="0" w:type="dxa"/>
            <w:left w:w="0" w:type="dxa"/>
            <w:bottom w:w="0" w:type="dxa"/>
            <w:right w:w="0" w:type="dxa"/>
          </w:tblCellMar>
        </w:tblPrEx>
        <w:trPr>
          <w:tblHeader/>
        </w:trPr>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default" w:ascii="CESI仿宋-GB2312" w:hAnsi="CESI仿宋-GB2312" w:eastAsia="CESI仿宋-GB2312" w:cs="CESI仿宋-GB2312"/>
                <w:kern w:val="0"/>
                <w:sz w:val="32"/>
                <w:szCs w:val="32"/>
                <w:lang w:val="en-US" w:eastAsia="zh-CN" w:bidi="ar-SA"/>
              </w:rPr>
            </w:pPr>
            <w:r>
              <w:rPr>
                <w:rFonts w:hint="eastAsia" w:ascii="华文仿宋" w:hAnsi="华文仿宋" w:eastAsia="华文仿宋" w:cs="华文仿宋"/>
                <w:b/>
                <w:kern w:val="0"/>
                <w:sz w:val="32"/>
                <w:szCs w:val="32"/>
                <w:lang w:val="en-US" w:eastAsia="zh-CN" w:bidi="ar-SA"/>
              </w:rPr>
              <w:t>类别</w:t>
            </w:r>
          </w:p>
        </w:tc>
        <w:tc>
          <w:tcPr>
            <w:tcW w:w="691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default" w:ascii="CESI仿宋-GB2312" w:hAnsi="CESI仿宋-GB2312" w:eastAsia="CESI仿宋-GB2312" w:cs="CESI仿宋-GB2312"/>
                <w:kern w:val="0"/>
                <w:sz w:val="32"/>
                <w:szCs w:val="32"/>
                <w:lang w:val="en-US" w:eastAsia="zh-CN" w:bidi="ar-SA"/>
              </w:rPr>
            </w:pPr>
            <w:r>
              <w:rPr>
                <w:rFonts w:hint="eastAsia" w:ascii="华文仿宋" w:hAnsi="华文仿宋" w:eastAsia="华文仿宋" w:cs="华文仿宋"/>
                <w:b/>
                <w:kern w:val="0"/>
                <w:sz w:val="32"/>
                <w:szCs w:val="32"/>
                <w:lang w:val="en-US" w:eastAsia="zh-CN" w:bidi="ar-SA"/>
              </w:rPr>
              <w:t>适用范围</w:t>
            </w:r>
          </w:p>
        </w:tc>
      </w:tr>
      <w:tr>
        <w:tblPrEx>
          <w:shd w:val="clear" w:color="auto" w:fill="FFFFFF"/>
          <w:tblCellMar>
            <w:top w:w="0" w:type="dxa"/>
            <w:left w:w="0" w:type="dxa"/>
            <w:bottom w:w="0" w:type="dxa"/>
            <w:right w:w="0" w:type="dxa"/>
          </w:tblCellMar>
        </w:tblPrEx>
        <w:tc>
          <w:tcPr>
            <w:tcW w:w="907"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default" w:ascii="CESI仿宋-GB2312" w:hAnsi="CESI仿宋-GB2312" w:eastAsia="CESI仿宋-GB2312" w:cs="CESI仿宋-GB2312"/>
                <w:kern w:val="0"/>
                <w:sz w:val="32"/>
                <w:szCs w:val="32"/>
                <w:lang w:val="en-US" w:eastAsia="zh-CN" w:bidi="ar-SA"/>
              </w:rPr>
            </w:pPr>
            <w:r>
              <w:rPr>
                <w:rFonts w:hint="eastAsia" w:ascii="CESI仿宋-GB2312" w:hAnsi="CESI仿宋-GB2312" w:eastAsia="CESI仿宋-GB2312" w:cs="CESI仿宋-GB2312"/>
                <w:color w:val="000000"/>
                <w:kern w:val="0"/>
                <w:sz w:val="32"/>
                <w:szCs w:val="32"/>
                <w:lang w:val="en-US" w:eastAsia="zh-CN" w:bidi="ar-SA"/>
              </w:rPr>
              <w:t>信息系统集成服务</w:t>
            </w:r>
          </w:p>
        </w:tc>
        <w:tc>
          <w:tcPr>
            <w:tcW w:w="4092"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default" w:ascii="CESI仿宋-GB2312" w:hAnsi="CESI仿宋-GB2312" w:eastAsia="CESI仿宋-GB2312" w:cs="CESI仿宋-GB2312"/>
                <w:kern w:val="0"/>
                <w:sz w:val="32"/>
                <w:szCs w:val="32"/>
                <w:lang w:val="en-US" w:eastAsia="zh-CN" w:bidi="ar-SA"/>
              </w:rPr>
            </w:pPr>
            <w:r>
              <w:rPr>
                <w:rFonts w:hint="eastAsia" w:ascii="CESI仿宋-GB2312" w:hAnsi="CESI仿宋-GB2312" w:eastAsia="CESI仿宋-GB2312" w:cs="CESI仿宋-GB2312"/>
                <w:color w:val="000000"/>
                <w:kern w:val="0"/>
                <w:sz w:val="32"/>
                <w:szCs w:val="32"/>
                <w:lang w:val="en-US" w:eastAsia="zh-CN" w:bidi="ar-SA"/>
              </w:rPr>
              <w:t>系统集成咨询服务；系统集成工程服务；提供硬件设备现场组装、软件安装与调试及相关运营维护支撑服务；系统运营维护服务，包括系统运行检测监控、故障定位与排除、性能管理、优化升级等。</w:t>
            </w:r>
          </w:p>
        </w:tc>
      </w:tr>
      <w:tr>
        <w:tblPrEx>
          <w:shd w:val="clear" w:color="auto" w:fill="FFFFFF"/>
          <w:tblCellMar>
            <w:top w:w="0" w:type="dxa"/>
            <w:left w:w="0" w:type="dxa"/>
            <w:bottom w:w="0" w:type="dxa"/>
            <w:right w:w="0" w:type="dxa"/>
          </w:tblCellMar>
        </w:tblPrEx>
        <w:tc>
          <w:tcPr>
            <w:tcW w:w="907"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default" w:ascii="CESI仿宋-GB2312" w:hAnsi="CESI仿宋-GB2312" w:eastAsia="CESI仿宋-GB2312" w:cs="CESI仿宋-GB2312"/>
                <w:kern w:val="0"/>
                <w:sz w:val="32"/>
                <w:szCs w:val="32"/>
                <w:lang w:val="en-US" w:eastAsia="zh-CN" w:bidi="ar-SA"/>
              </w:rPr>
            </w:pPr>
            <w:r>
              <w:rPr>
                <w:rFonts w:hint="eastAsia" w:ascii="CESI仿宋-GB2312" w:hAnsi="CESI仿宋-GB2312" w:eastAsia="CESI仿宋-GB2312" w:cs="CESI仿宋-GB2312"/>
                <w:color w:val="000000"/>
                <w:kern w:val="0"/>
                <w:sz w:val="32"/>
                <w:szCs w:val="32"/>
                <w:lang w:val="en-US" w:eastAsia="zh-CN" w:bidi="ar-SA"/>
              </w:rPr>
              <w:t>数据服务</w:t>
            </w:r>
          </w:p>
        </w:tc>
        <w:tc>
          <w:tcPr>
            <w:tcW w:w="4092"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default" w:ascii="CESI仿宋-GB2312" w:hAnsi="CESI仿宋-GB2312" w:eastAsia="CESI仿宋-GB2312" w:cs="CESI仿宋-GB2312"/>
                <w:kern w:val="0"/>
                <w:sz w:val="32"/>
                <w:szCs w:val="32"/>
                <w:lang w:val="en-US" w:eastAsia="zh-CN" w:bidi="ar-SA"/>
              </w:rPr>
            </w:pPr>
            <w:r>
              <w:rPr>
                <w:rFonts w:hint="eastAsia" w:ascii="CESI仿宋-GB2312" w:hAnsi="CESI仿宋-GB2312" w:eastAsia="CESI仿宋-GB2312" w:cs="CESI仿宋-GB2312"/>
                <w:color w:val="000000"/>
                <w:kern w:val="0"/>
                <w:sz w:val="32"/>
                <w:szCs w:val="32"/>
                <w:lang w:val="en-US" w:eastAsia="zh-CN" w:bidi="ar-SA"/>
              </w:rPr>
              <w:t>数据存储管理服务，提供数据规划、评估、审计、咨询、清洗、整理、应用服务，数据增值服务，提供其他未分类数据处理服务。</w:t>
            </w:r>
          </w:p>
        </w:tc>
      </w:tr>
    </w:tbl>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left"/>
        <w:textAlignment w:val="auto"/>
        <w:rPr>
          <w:rFonts w:ascii="serif" w:hAnsi="serif" w:eastAsia="serif" w:cs="serif"/>
          <w:color w:val="000000"/>
          <w:kern w:val="0"/>
          <w:sz w:val="27"/>
          <w:szCs w:val="27"/>
          <w:lang w:val="en-US" w:eastAsia="zh-CN" w:bidi="ar-SA"/>
        </w:rPr>
      </w:pPr>
      <w:r>
        <w:rPr>
          <w:rFonts w:ascii="serif" w:hAnsi="serif" w:eastAsia="serif" w:cs="serif"/>
          <w:color w:val="000000"/>
          <w:kern w:val="0"/>
          <w:sz w:val="27"/>
          <w:szCs w:val="27"/>
          <w:shd w:val="clear" w:color="auto" w:fill="FFFFFF"/>
          <w:lang w:val="en-US" w:eastAsia="zh-CN" w:bidi="ar-SA"/>
        </w:rPr>
        <w:t>　　</w:t>
      </w:r>
      <w:r>
        <w:rPr>
          <w:rFonts w:hint="eastAsia" w:ascii="楷体_GB2312" w:hAnsi="楷体_GB2312" w:eastAsia="楷体_GB2312" w:cs="楷体_GB2312"/>
          <w:kern w:val="0"/>
          <w:sz w:val="32"/>
          <w:szCs w:val="32"/>
          <w:shd w:val="clear" w:color="auto" w:fill="FFFFFF"/>
          <w:lang w:val="en-US" w:eastAsia="zh-CN" w:bidi="ar-SA"/>
        </w:rPr>
        <w:t>（二）研究开发和技术服务</w:t>
      </w:r>
    </w:p>
    <w:tbl>
      <w:tblPr>
        <w:tblStyle w:val="4"/>
        <w:tblW w:w="4999" w:type="pct"/>
        <w:tblInd w:w="0" w:type="dxa"/>
        <w:shd w:val="clear" w:color="auto" w:fill="FFFFFF"/>
        <w:tblLayout w:type="autofit"/>
        <w:tblCellMar>
          <w:top w:w="0" w:type="dxa"/>
          <w:left w:w="0" w:type="dxa"/>
          <w:bottom w:w="0" w:type="dxa"/>
          <w:right w:w="0" w:type="dxa"/>
        </w:tblCellMar>
      </w:tblPr>
      <w:tblGrid>
        <w:gridCol w:w="1532"/>
        <w:gridCol w:w="6912"/>
      </w:tblGrid>
      <w:tr>
        <w:tblPrEx>
          <w:tblCellMar>
            <w:top w:w="0" w:type="dxa"/>
            <w:left w:w="0" w:type="dxa"/>
            <w:bottom w:w="0" w:type="dxa"/>
            <w:right w:w="0" w:type="dxa"/>
          </w:tblCellMar>
        </w:tblPrEx>
        <w:trPr>
          <w:tblHeader/>
        </w:trPr>
        <w:tc>
          <w:tcPr>
            <w:tcW w:w="153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类别</w:t>
            </w:r>
          </w:p>
        </w:tc>
        <w:tc>
          <w:tcPr>
            <w:tcW w:w="691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适用范围</w:t>
            </w:r>
          </w:p>
        </w:tc>
      </w:tr>
      <w:tr>
        <w:tblPrEx>
          <w:tblCellMar>
            <w:top w:w="0" w:type="dxa"/>
            <w:left w:w="0" w:type="dxa"/>
            <w:bottom w:w="0" w:type="dxa"/>
            <w:right w:w="0" w:type="dxa"/>
          </w:tblCellMar>
        </w:tblPrEx>
        <w:tc>
          <w:tcPr>
            <w:tcW w:w="907"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研究和实验开发服务</w:t>
            </w:r>
          </w:p>
        </w:tc>
        <w:tc>
          <w:tcPr>
            <w:tcW w:w="4092"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物理学、化学、生物学、基因学、工程学、医学、农业科学、环境科学、人类地理科学、经济学和人文科学等领域的研究和实验开发服务。</w:t>
            </w:r>
          </w:p>
        </w:tc>
      </w:tr>
      <w:tr>
        <w:tblPrEx>
          <w:tblCellMar>
            <w:top w:w="0" w:type="dxa"/>
            <w:left w:w="0" w:type="dxa"/>
            <w:bottom w:w="0" w:type="dxa"/>
            <w:right w:w="0" w:type="dxa"/>
          </w:tblCellMar>
        </w:tblPrEx>
        <w:tc>
          <w:tcPr>
            <w:tcW w:w="907"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工业设计服务</w:t>
            </w:r>
          </w:p>
        </w:tc>
        <w:tc>
          <w:tcPr>
            <w:tcW w:w="4092"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对产品的材料、结构、机理、形状、颜色和表面处理的设计与选择；对产品进行的综合设计服务，即产品外观的设计、机械结构和电路设计等服务。</w:t>
            </w:r>
          </w:p>
        </w:tc>
      </w:tr>
      <w:tr>
        <w:tblPrEx>
          <w:tblCellMar>
            <w:top w:w="0" w:type="dxa"/>
            <w:left w:w="0" w:type="dxa"/>
            <w:bottom w:w="0" w:type="dxa"/>
            <w:right w:w="0" w:type="dxa"/>
          </w:tblCellMar>
        </w:tblPrEx>
        <w:tc>
          <w:tcPr>
            <w:tcW w:w="907"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知识产权跨境许可与转让</w:t>
            </w:r>
          </w:p>
        </w:tc>
        <w:tc>
          <w:tcPr>
            <w:tcW w:w="4092" w:type="pct"/>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以专利、版权、商标等为载体的技术贸易。知识产权跨境许可是指授权境外机构有偿使用专利、版权和商标等；知识产权跨境转让是指将专利、版权和商标等知识产权售卖给境外机构。</w:t>
            </w:r>
          </w:p>
        </w:tc>
      </w:tr>
    </w:tbl>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ascii="CESI楷体-GB2312" w:hAnsi="CESI楷体-GB2312" w:eastAsia="CESI楷体-GB2312" w:cs="CESI楷体-GB2312"/>
          <w:kern w:val="0"/>
          <w:sz w:val="32"/>
          <w:szCs w:val="32"/>
          <w:shd w:val="clear" w:color="auto" w:fill="FFFFFF"/>
          <w:lang w:val="en-US" w:eastAsia="zh-CN" w:bidi="ar-SA"/>
        </w:rPr>
      </w:pPr>
      <w:r>
        <w:rPr>
          <w:rFonts w:ascii="CESI楷体-GB2312" w:hAnsi="CESI楷体-GB2312" w:eastAsia="CESI楷体-GB2312" w:cs="CESI楷体-GB2312"/>
          <w:kern w:val="0"/>
          <w:sz w:val="32"/>
          <w:szCs w:val="32"/>
          <w:shd w:val="clear" w:color="auto" w:fill="FFFFFF"/>
          <w:lang w:val="en-US" w:eastAsia="zh-CN" w:bidi="ar-SA"/>
        </w:rPr>
        <w:t>　　</w:t>
      </w:r>
      <w:r>
        <w:rPr>
          <w:rFonts w:hint="eastAsia" w:ascii="楷体_GB2312" w:hAnsi="楷体_GB2312" w:eastAsia="楷体_GB2312" w:cs="楷体_GB2312"/>
          <w:kern w:val="0"/>
          <w:sz w:val="32"/>
          <w:szCs w:val="32"/>
          <w:shd w:val="clear" w:color="auto" w:fill="FFFFFF"/>
          <w:lang w:val="en-US" w:eastAsia="zh-CN" w:bidi="ar-SA"/>
        </w:rPr>
        <w:t>（三）文化技术服务</w:t>
      </w:r>
    </w:p>
    <w:tbl>
      <w:tblPr>
        <w:tblStyle w:val="4"/>
        <w:tblW w:w="4998" w:type="pct"/>
        <w:tblInd w:w="0" w:type="dxa"/>
        <w:shd w:val="clear" w:color="auto" w:fill="FFFFFF"/>
        <w:tblLayout w:type="autofit"/>
        <w:tblCellMar>
          <w:top w:w="0" w:type="dxa"/>
          <w:left w:w="0" w:type="dxa"/>
          <w:bottom w:w="0" w:type="dxa"/>
          <w:right w:w="0" w:type="dxa"/>
        </w:tblCellMar>
      </w:tblPr>
      <w:tblGrid>
        <w:gridCol w:w="1434"/>
        <w:gridCol w:w="7009"/>
      </w:tblGrid>
      <w:tr>
        <w:tblPrEx>
          <w:shd w:val="clear" w:color="auto" w:fill="FFFFFF"/>
          <w:tblCellMar>
            <w:top w:w="0" w:type="dxa"/>
            <w:left w:w="0" w:type="dxa"/>
            <w:bottom w:w="0" w:type="dxa"/>
            <w:right w:w="0" w:type="dxa"/>
          </w:tblCellMar>
        </w:tblPrEx>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类别</w:t>
            </w:r>
          </w:p>
        </w:tc>
        <w:tc>
          <w:tcPr>
            <w:tcW w:w="700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适用范围</w:t>
            </w:r>
          </w:p>
        </w:tc>
      </w:tr>
      <w:tr>
        <w:tblPrEx>
          <w:shd w:val="clear" w:color="auto" w:fill="FFFFFF"/>
          <w:tblCellMar>
            <w:top w:w="0" w:type="dxa"/>
            <w:left w:w="0" w:type="dxa"/>
            <w:bottom w:w="0" w:type="dxa"/>
            <w:right w:w="0" w:type="dxa"/>
          </w:tblCellMar>
        </w:tblPrEx>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文化产品数字制作及相关服务</w:t>
            </w:r>
          </w:p>
        </w:tc>
        <w:tc>
          <w:tcPr>
            <w:tcW w:w="700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采用数字技术对舞台剧目、音乐、美术、文物、非物质文化遗产、文献资源等文化内容以及各种出版物进行数字化转化和开发，为各种显示终端提供内容，以及采用数字技术传播、经营文化产品等相关服务。</w:t>
            </w:r>
          </w:p>
        </w:tc>
      </w:tr>
      <w:tr>
        <w:tblPrEx>
          <w:shd w:val="clear" w:color="auto" w:fill="FFFFFF"/>
          <w:tblCellMar>
            <w:top w:w="0" w:type="dxa"/>
            <w:left w:w="0" w:type="dxa"/>
            <w:bottom w:w="0" w:type="dxa"/>
            <w:right w:w="0" w:type="dxa"/>
          </w:tblCellMar>
        </w:tblPrEx>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文化产品的对外翻译、配音及制作服务</w:t>
            </w:r>
          </w:p>
        </w:tc>
        <w:tc>
          <w:tcPr>
            <w:tcW w:w="7009"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将本国文化产品翻译或配音成其他国家语言，将其他国家文化产品翻译或配音成本国语言以及与其相关的制作服务。</w:t>
            </w:r>
          </w:p>
        </w:tc>
      </w:tr>
    </w:tbl>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50" w:lineRule="exact"/>
        <w:ind w:left="0" w:leftChars="0"/>
        <w:jc w:val="both"/>
        <w:textAlignment w:val="auto"/>
        <w:rPr>
          <w:rFonts w:hint="eastAsia" w:ascii="楷体_GB2312" w:hAnsi="楷体_GB2312" w:eastAsia="楷体_GB2312" w:cs="楷体_GB2312"/>
          <w:kern w:val="0"/>
          <w:sz w:val="32"/>
          <w:szCs w:val="32"/>
          <w:lang w:val="en-US" w:eastAsia="zh-CN" w:bidi="ar-SA"/>
        </w:rPr>
      </w:pPr>
      <w:r>
        <w:rPr>
          <w:rFonts w:ascii="CESI楷体-GB2312" w:hAnsi="CESI楷体-GB2312" w:eastAsia="CESI楷体-GB2312" w:cs="CESI楷体-GB2312"/>
          <w:kern w:val="0"/>
          <w:sz w:val="32"/>
          <w:szCs w:val="32"/>
          <w:shd w:val="clear" w:color="auto" w:fill="FFFFFF"/>
          <w:lang w:val="en-US" w:eastAsia="zh-CN" w:bidi="ar-SA"/>
        </w:rPr>
        <w:t>　　</w:t>
      </w:r>
      <w:r>
        <w:rPr>
          <w:rFonts w:hint="eastAsia" w:ascii="楷体_GB2312" w:hAnsi="楷体_GB2312" w:eastAsia="楷体_GB2312" w:cs="楷体_GB2312"/>
          <w:kern w:val="0"/>
          <w:sz w:val="32"/>
          <w:szCs w:val="32"/>
          <w:shd w:val="clear" w:color="auto" w:fill="FFFFFF"/>
          <w:lang w:val="en-US" w:eastAsia="zh-CN" w:bidi="ar-SA"/>
        </w:rPr>
        <w:t>（四）中医药医疗服务</w:t>
      </w:r>
      <w:bookmarkStart w:id="0" w:name="_GoBack"/>
      <w:bookmarkEnd w:id="0"/>
    </w:p>
    <w:tbl>
      <w:tblPr>
        <w:tblStyle w:val="4"/>
        <w:tblW w:w="4998" w:type="pct"/>
        <w:tblInd w:w="0" w:type="dxa"/>
        <w:shd w:val="clear" w:color="auto" w:fill="FFFFFF"/>
        <w:tblLayout w:type="autofit"/>
        <w:tblCellMar>
          <w:top w:w="0" w:type="dxa"/>
          <w:left w:w="0" w:type="dxa"/>
          <w:bottom w:w="0" w:type="dxa"/>
          <w:right w:w="0" w:type="dxa"/>
        </w:tblCellMar>
      </w:tblPr>
      <w:tblGrid>
        <w:gridCol w:w="1601"/>
        <w:gridCol w:w="6842"/>
      </w:tblGrid>
      <w:tr>
        <w:tblPrEx>
          <w:shd w:val="clear" w:color="auto" w:fill="FFFFFF"/>
          <w:tblCellMar>
            <w:top w:w="0" w:type="dxa"/>
            <w:left w:w="0" w:type="dxa"/>
            <w:bottom w:w="0" w:type="dxa"/>
            <w:right w:w="0" w:type="dxa"/>
          </w:tblCellMar>
        </w:tblPrEx>
        <w:tc>
          <w:tcPr>
            <w:tcW w:w="160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类别</w:t>
            </w:r>
          </w:p>
        </w:tc>
        <w:tc>
          <w:tcPr>
            <w:tcW w:w="68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50" w:lineRule="exact"/>
              <w:ind w:left="0" w:leftChars="0" w:right="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适用范围</w:t>
            </w:r>
          </w:p>
        </w:tc>
      </w:tr>
      <w:tr>
        <w:tblPrEx>
          <w:shd w:val="clear" w:color="auto" w:fill="FFFFFF"/>
          <w:tblCellMar>
            <w:top w:w="0" w:type="dxa"/>
            <w:left w:w="0" w:type="dxa"/>
            <w:bottom w:w="0" w:type="dxa"/>
            <w:right w:w="0" w:type="dxa"/>
          </w:tblCellMar>
        </w:tblPrEx>
        <w:trPr>
          <w:trHeight w:val="1617" w:hRule="atLeast"/>
        </w:trPr>
        <w:tc>
          <w:tcPr>
            <w:tcW w:w="1601"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中医药医疗保健及相关服务</w:t>
            </w:r>
          </w:p>
        </w:tc>
        <w:tc>
          <w:tcPr>
            <w:tcW w:w="6843"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70" w:type="dxa"/>
              <w:bottom w:w="50" w:type="dxa"/>
              <w:right w:w="7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50" w:lineRule="exact"/>
              <w:ind w:left="0" w:leftChars="0" w:right="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与中医药相关的远程医疗保健、教育培训、文化交流等服务。</w:t>
            </w:r>
          </w:p>
        </w:tc>
      </w:tr>
    </w:tbl>
    <w:p>
      <w:pPr>
        <w:keepNext w:val="0"/>
        <w:keepLines w:val="0"/>
        <w:pageBreakBefore w:val="0"/>
        <w:kinsoku/>
        <w:overflowPunct/>
        <w:topLinePunct w:val="0"/>
        <w:autoSpaceDE/>
        <w:autoSpaceDN/>
        <w:bidi w:val="0"/>
        <w:adjustRightInd/>
        <w:snapToGrid/>
        <w:spacing w:line="550" w:lineRule="exact"/>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方正黑体_GBK">
    <w:altName w:val="微软雅黑"/>
    <w:panose1 w:val="02000000000000000000"/>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serif">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4"/>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15D07"/>
    <w:rsid w:val="2D415D07"/>
    <w:rsid w:val="437F3696"/>
    <w:rsid w:val="77AFD1DB"/>
    <w:rsid w:val="7AAC3650"/>
    <w:rsid w:val="7FFFB391"/>
    <w:rsid w:val="AF1AE6F4"/>
    <w:rsid w:val="FB5B3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2022-09-04T04:55:00Z</dcterms:created>
  <dc:creator>123</dc:creator>
  <cp:lastModifiedBy>lynn</cp:lastModifiedBy>
  <dcterms:modified xsi:type="dcterms:W3CDTF">2023-04-14T08:50:24Z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90CD366D43404275ABB29267AF212844</vt:lpwstr>
  </property>
</Properties>
</file>