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25" w:lineRule="atLeast"/>
        <w:jc w:val="center"/>
        <w:rPr>
          <w:rFonts w:ascii="微软雅黑" w:hAnsi="微软雅黑" w:cs="宋体"/>
          <w:color w:val="333333"/>
          <w:spacing w:val="2"/>
          <w:sz w:val="24"/>
          <w:szCs w:val="24"/>
        </w:rPr>
      </w:pPr>
      <w:r>
        <w:rPr>
          <w:rFonts w:hint="eastAsia" w:ascii="微软雅黑" w:hAnsi="微软雅黑" w:cs="宋体"/>
          <w:b/>
          <w:bCs/>
          <w:color w:val="333333"/>
          <w:spacing w:val="2"/>
          <w:sz w:val="24"/>
          <w:szCs w:val="24"/>
        </w:rPr>
        <w:t>翔安区重点发展产业指导目录(20</w:t>
      </w:r>
      <w:r>
        <w:rPr>
          <w:rFonts w:hint="eastAsia" w:ascii="微软雅黑" w:hAnsi="微软雅黑" w:cs="宋体"/>
          <w:b/>
          <w:bCs/>
          <w:color w:val="333333"/>
          <w:spacing w:val="2"/>
          <w:sz w:val="24"/>
          <w:szCs w:val="24"/>
          <w:lang w:val="en-US" w:eastAsia="zh-CN"/>
        </w:rPr>
        <w:t>21</w:t>
      </w:r>
      <w:r>
        <w:rPr>
          <w:rFonts w:hint="eastAsia" w:ascii="微软雅黑" w:hAnsi="微软雅黑" w:cs="宋体"/>
          <w:b/>
          <w:bCs/>
          <w:color w:val="333333"/>
          <w:spacing w:val="2"/>
          <w:sz w:val="24"/>
          <w:szCs w:val="24"/>
        </w:rPr>
        <w:t>年版)</w:t>
      </w:r>
      <w:bookmarkStart w:id="0" w:name="_GoBack"/>
      <w:bookmarkEnd w:id="0"/>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一、平板显示</w:t>
      </w:r>
    </w:p>
    <w:p>
      <w:pPr>
        <w:adjustRightInd/>
        <w:snapToGrid/>
        <w:spacing w:after="300" w:line="525" w:lineRule="atLeast"/>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　　1.高分辨率新型半导体显示器件，包括Micro-LED、量子点显示器面板、液晶显示器面板、LTPS、OLED、激光显示器件、柔性显示器件、3D显示产品等新型显示屏制造;</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2.新型电子元器件,包括片式元器件、频率元器件、混合集成电路、电力电子器件、光电子器件、敏感元器件及传感器、新型机电元件、高密度印刷电路板和柔性电路板等生产； </w:t>
      </w:r>
    </w:p>
    <w:p>
      <w:pPr>
        <w:adjustRightInd/>
        <w:snapToGrid/>
        <w:spacing w:after="300" w:line="525" w:lineRule="atLeast"/>
        <w:ind w:firstLine="488" w:firstLineChars="200"/>
        <w:rPr>
          <w:rFonts w:ascii="微软雅黑" w:hAnsi="微软雅黑" w:cs="宋体"/>
          <w:color w:val="333333"/>
          <w:spacing w:val="2"/>
          <w:sz w:val="24"/>
          <w:szCs w:val="24"/>
        </w:rPr>
      </w:pPr>
      <w:r>
        <w:rPr>
          <w:rFonts w:hint="eastAsia" w:ascii="微软雅黑" w:hAnsi="微软雅黑" w:cs="宋体"/>
          <w:color w:val="333333"/>
          <w:spacing w:val="2"/>
          <w:sz w:val="24"/>
          <w:szCs w:val="24"/>
        </w:rPr>
        <w:t>3.与新型显示屏制造配套的核心材料和关键元组件，包括玻璃基板、柔性塑料基板、滤光片、偏光片、掩膜板、驱动和触控IC、ITO及其替代材料、增光膜、扩散膜、反射膜靶材等制造。</w:t>
      </w:r>
    </w:p>
    <w:p>
      <w:pPr>
        <w:adjustRightInd/>
        <w:snapToGrid/>
        <w:spacing w:after="0"/>
        <w:ind w:firstLine="724"/>
        <w:outlineLvl w:val="1"/>
        <w:rPr>
          <w:rFonts w:hint="eastAsia" w:ascii="微软雅黑" w:hAnsi="微软雅黑" w:cs="宋体"/>
          <w:color w:val="4C4C4C"/>
          <w:spacing w:val="2"/>
          <w:sz w:val="36"/>
          <w:szCs w:val="36"/>
        </w:rPr>
      </w:pPr>
      <w:r>
        <w:rPr>
          <w:rFonts w:hint="eastAsia" w:ascii="微软雅黑" w:hAnsi="微软雅黑" w:cs="宋体"/>
          <w:color w:val="4C4C4C"/>
          <w:spacing w:val="2"/>
          <w:sz w:val="36"/>
          <w:szCs w:val="36"/>
        </w:rPr>
        <w:t>二、计算机与通讯设备</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1.高性能计算机，包括通用服务器、云计算服务器、云存储设备及其配套的电源系统设备制造;</w:t>
      </w:r>
    </w:p>
    <w:p>
      <w:pPr>
        <w:adjustRightInd/>
        <w:snapToGrid/>
        <w:spacing w:after="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2.基于计算机和</w:t>
      </w:r>
      <w:r>
        <w:fldChar w:fldCharType="begin"/>
      </w:r>
      <w:r>
        <w:instrText xml:space="preserve"> HYPERLINK "http://www.hiavr.com/news/industry/42095.html" \t "_blank" </w:instrText>
      </w:r>
      <w:r>
        <w:fldChar w:fldCharType="separate"/>
      </w:r>
      <w:r>
        <w:rPr>
          <w:rFonts w:hint="eastAsia" w:ascii="微软雅黑" w:hAnsi="微软雅黑" w:cs="宋体"/>
          <w:color w:val="333333"/>
          <w:spacing w:val="2"/>
          <w:sz w:val="24"/>
          <w:szCs w:val="24"/>
        </w:rPr>
        <w:t>人工智能</w:t>
      </w:r>
      <w:r>
        <w:rPr>
          <w:rFonts w:hint="eastAsia" w:ascii="微软雅黑" w:hAnsi="微软雅黑" w:cs="宋体"/>
          <w:color w:val="333333"/>
          <w:spacing w:val="2"/>
          <w:sz w:val="24"/>
          <w:szCs w:val="24"/>
        </w:rPr>
        <w:fldChar w:fldCharType="end"/>
      </w:r>
      <w:r>
        <w:rPr>
          <w:rFonts w:hint="eastAsia" w:ascii="微软雅黑" w:hAnsi="微软雅黑" w:cs="宋体"/>
          <w:color w:val="333333"/>
          <w:spacing w:val="2"/>
          <w:sz w:val="24"/>
          <w:szCs w:val="24"/>
        </w:rPr>
        <w:t>技术的工业控制系统、自动化生产设备、高性能计算机核心部件、计算机外部设备设计与制造;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3.消费类移动终端和智能终端产品生产制造，以及软硬件设计、工业设计、结构设计;</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4.核心网络设备、无线通信设备整机及主控板系统设计;</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5.消费类移动终端和智能终端产品所涉及的各类智能控制模组、液晶模组等核心零组件制造;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6.机器人、无人机、自动驾驶系统、自动控制系统等中高端智能化设备，及其配套的感知、分析、处理核心部件的设计与制造;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7.移动互联网、互联网、工业专网等大型网络系统所涉及核心网络通信设备，以及网络安全产品研发与制造;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8.新型元器件、关键电子材料、电子专用设备仪器等电子核心基础部件制造;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9.基于4G和5G的接入网设备、核心网设备制造;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10.北斗导航系统和商用低轨小卫星系统所涉及的关键部件、应用终端，以及位置与信息服务系统研发、生产、制造及服务;</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11.智能传感器、多功能传感器、化学及生物量传感器等传感器及节点设备,物联网终端设备、近距离无线通信节点设备等各类物联网网关、物联网设备制造;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12.轨道交通、航空、新能源汽车绿能系统等高端装备制造领域的电子、通信、控制、电源、网络设备核心部件研发、制造;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13.信息娱乐、运动健身、医疗健康、军用及特种用途的可穿戴设备研发及产业化;具有自主知识产权的头盔、挂件、眼镜、腕表、手环、穿戴式外骨骼等新型可穿戴设备产品生产;</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14.智能家居的无线通讯、智能路由、智能安全监控、人机交互技术研究，具有互联网后台支撑、具备自学习功能的智能家居产品体系研究应用;</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15.虚拟现实及增强现实的技术研发与智能设备制造。</w:t>
      </w: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三、集成电路</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1.集成电路设计;</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2.面向物联网、智能终端、汽车电子、智能电网、工业控制等应用领域的特色工艺制造(或代工);</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3.8英寸及以上IGBT、MOSFET等功率器件、MEMS器件制造;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4.第三代化合物半导体研发制造;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5. BGA、PGA、FPGA、CSP 、MCM、SIP、WLP、TSV、FOPLP、FOWLP等先进封装与测试技术研发和产业化;</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6.先进封装载板制造;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7.刻蚀机、离子注入机、多线切割机、自动封装系统、全自动晶圆检测机等制造;</w:t>
      </w:r>
    </w:p>
    <w:p>
      <w:pPr>
        <w:adjustRightInd/>
        <w:snapToGrid/>
        <w:spacing w:after="300" w:line="525" w:lineRule="atLeast"/>
        <w:ind w:firstLine="484"/>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8.硅单晶、硅外延片、靶材、光刻胶、高纯化学试剂、键合丝、塑封料等制造。</w:t>
      </w:r>
    </w:p>
    <w:p>
      <w:pPr>
        <w:adjustRightInd/>
        <w:snapToGrid/>
        <w:spacing w:after="300" w:line="525" w:lineRule="atLeast"/>
        <w:ind w:firstLine="484"/>
        <w:rPr>
          <w:rFonts w:hint="default" w:ascii="微软雅黑" w:hAnsi="微软雅黑" w:eastAsia="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9.</w:t>
      </w:r>
      <w:r>
        <w:rPr>
          <w:rFonts w:hint="eastAsia" w:ascii="微软雅黑" w:hAnsi="微软雅黑" w:cs="宋体"/>
          <w:color w:val="333333"/>
          <w:spacing w:val="2"/>
          <w:sz w:val="24"/>
          <w:szCs w:val="24"/>
        </w:rPr>
        <w:t>LED的照明设计、智慧照明、健康照明及其外延、芯片、封装等高端研发和制造。</w:t>
      </w: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四、机械装备</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(一)航空航天</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1.民用飞机(含直升机)及零部件设计、制造与维修;</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2.航空发动机及零部件、航空辅助动力系统设计、制造与维修;</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3.航空地面设备制造;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4. 航空器地面模拟训练系统开发制造;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5.航空技术服务、现代航空物流、航空商务服务、航空运营支持服务等航空服务业，航空租赁等设备租赁业务;</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6.卫星通信应用系统、卫星导航应用服务系统、卫星遥感应用系统等卫星应用产业化。</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(二)汽车</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1.纯电动汽车、插电式混合动力汽车和燃料电池汽车等新能源汽车整车制造;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 新能源汽车电池、电机、电控系统关键零部件的研发及制造，包括电池正极材料、电池隔膜、电池管理系统、驱动电机、插电式混合动力机电耦合驱动系统、电机管理系统;</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3.新能源汽车动力电池回收再利用技术研发及相关装备制造;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4.新能源汽车发动机及“三电”(电池、电机、电控)系统关键技术研发机构建设;</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5.汽车核心零部件研发及制造。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(三)工程机械</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1.高档叉车、装载机、挖掘机系统制造与研发;</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2.液压组件、传动件、控制系统等关键零组件制造。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(四)输配电设备</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1.智能电网装备及智能微电网控制设备研发与制造;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2.中压开关、一二次智能化设备、户外开关制造;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3.高压直流输电设备制造;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4.输配电及控制设备制造;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5.新能源汽车充电换电电力设备研发制造;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6.民用商用低压电气智能物联设备研发制造;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7.电气电路复合材料研发及制造;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8.城市轨道交通核心元器件及自动化系统组件生产;</w:t>
      </w:r>
    </w:p>
    <w:p>
      <w:pPr>
        <w:adjustRightInd/>
        <w:snapToGrid/>
        <w:spacing w:after="300" w:line="525" w:lineRule="atLeast"/>
        <w:rPr>
          <w:rFonts w:ascii="微软雅黑" w:hAnsi="微软雅黑" w:cs="宋体"/>
          <w:color w:val="FF0000"/>
          <w:spacing w:val="2"/>
          <w:sz w:val="24"/>
          <w:szCs w:val="24"/>
        </w:rPr>
      </w:pPr>
      <w:r>
        <w:rPr>
          <w:rFonts w:hint="eastAsia" w:ascii="微软雅黑" w:hAnsi="微软雅黑" w:cs="宋体"/>
          <w:color w:val="333333"/>
          <w:spacing w:val="2"/>
          <w:sz w:val="24"/>
          <w:szCs w:val="24"/>
        </w:rPr>
        <w:t>　　9.储能技术研发及关键原材料、配套装置制造。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w:t>
      </w:r>
      <w:r>
        <w:rPr>
          <w:rFonts w:hint="eastAsia" w:ascii="微软雅黑" w:hAnsi="微软雅黑" w:cs="宋体"/>
          <w:color w:val="333333"/>
          <w:spacing w:val="2"/>
          <w:sz w:val="24"/>
          <w:szCs w:val="24"/>
          <w:lang w:eastAsia="zh-CN"/>
        </w:rPr>
        <w:t>五</w:t>
      </w:r>
      <w:r>
        <w:rPr>
          <w:rFonts w:hint="eastAsia" w:ascii="微软雅黑" w:hAnsi="微软雅黑" w:cs="宋体"/>
          <w:color w:val="333333"/>
          <w:spacing w:val="2"/>
          <w:sz w:val="24"/>
          <w:szCs w:val="24"/>
        </w:rPr>
        <w:t>)智能制造装备与系统</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1.工业机器人，特种服务机器人、医疗康复机器人、公共服务机器人、个人服务机器人等智能服务机器人制造;机器人关键零部件制造;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2.机器人操作系统、云服务平台、系统集成技术、工业软件等开发应用;</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3.多参量集成传感器及自检校、自诊断、自补偿传感器制造;</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4.全数字开放式数控系统、高精度高效率减速器、高性能低成本控制器、高分辨率绝对式光栅尺、研制编码器、伺服电机及驱动器制造。</w:t>
      </w: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五、新材料</w:t>
      </w:r>
    </w:p>
    <w:p>
      <w:pPr>
        <w:adjustRightInd/>
        <w:snapToGrid/>
        <w:spacing w:after="300" w:line="525" w:lineRule="atLeast"/>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　　1.先进基础材料：高强铝合金、高强韧钛合金、镁合金等先进有色金属材料，高端聚烯烃、特种合成橡胶及工程塑料等先进化工材料，先进建筑材料、先进轻纺材料。</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2.关键战略材料：耐高温及耐蚀合金、高强轻型合金等高端装备用特种合金，反渗透膜、全氟离子交换膜等高性能分离膜材料，高性能碳纤维、芳纶纤维等高性能纤维及复合材料，高性能永磁、高效发光、高端催化等稀土功能材料，宽禁带半导体材料和新型显示材料，以及新型能源材料、生物医用材料。</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3.前沿新材料：石墨烯、金属及高分子增材制造材料，形状记忆合金、自修复材料、智能仿生与超材料，液态金属、新型低温超导及低成本高温超导材料。</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4.新材料知名研究机构、专业孵化器、检验检测认证机构等创新创业服务。</w:t>
      </w: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六、生物医药与健康</w:t>
      </w:r>
    </w:p>
    <w:p>
      <w:pPr>
        <w:adjustRightInd/>
        <w:snapToGrid/>
        <w:spacing w:after="300" w:line="525" w:lineRule="atLeast"/>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　　1.疫苗、蛋白和多肽类药物、抗体药物以及微生态制剂等生物制品的研发与产业化；</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2.创新化学药、药物新剂型、仿制药的研发与产业化；；</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3.中药创新药、中药改良型新药、古代经典名方中药复方制剂、中成药、中药饮片的开发和现有品种的二次开发；</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4.细胞治疗、免疫治疗、基因治疗、病毒治疗等个体化生物治疗技术和肿瘤精准医疗技术的研发与运用；</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5.体外诊断设备与试剂、高价值植介入产品、高端医疗装备、新型传染病风险防控与应急技术装备等高性能医疗器械的研发与产业化；</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6.保健食品、新资源食品、健康食品、特医食品、高端化妆品等高价值功能性食品和化妆品的研发与产业化；</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7.生物发酵产品、生物基产品、生物催化产品和生物制造装备的研发与产业化；</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8.农业名优品种育种、动物用疫苗、动植物疫病用诊断试剂、生物兽药、生物农药等农用生物制品研究；</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9.海洋新药、海洋生物材料、海洋功能性食品、海洋生物特殊用途化妆品等海洋生物医药与新型生物制品研发与产业化。海洋检测技术开发及海洋生物资源种质库建设。</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10.检验检测、合同研究（CRO）、公共技术、专业制造和供应、专业咨询、医药电子商务等生物医药与健康领域研发、生产、检测、服务供给等全流程的生物科技服务；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11.新一代数字诊疗与健康服务产品及高科技健康器材研发。健康管理服务、健康高技术服务、远程医疗服务、中医药养生服务等健康服务新模式。</w:t>
      </w:r>
    </w:p>
    <w:p>
      <w:pPr>
        <w:adjustRightInd/>
        <w:snapToGrid/>
        <w:spacing w:after="300" w:line="525" w:lineRule="atLeast"/>
        <w:rPr>
          <w:rFonts w:ascii="微软雅黑" w:hAnsi="微软雅黑" w:cs="宋体"/>
          <w:color w:val="333333"/>
          <w:spacing w:val="2"/>
          <w:sz w:val="24"/>
          <w:szCs w:val="24"/>
        </w:rPr>
      </w:pP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七、旅游会展</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1.大型旅游企业总部或区域总部；</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2.邮轮旅游、帆船、游艇、亲水体验等滨海特色旅游产品；</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3.夜游、夜娱、夜秀等夜间旅游消费；</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4.高端休闲度假酒店、旅游度假区等休闲度假目的地项目；</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5.5G、大数据、人工智能、虚拟现实、增强现实等信息技术在旅游场景的应用；</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6.专业展览项目、高端会议项目；</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7.大型专业展览机构、大型专业会议机构、大型会展设计搭建机构、会展配套服务机构、会展培训机构及平台等高端会展综合服务机构</w:t>
      </w:r>
      <w:r>
        <w:rPr>
          <w:rFonts w:hint="eastAsia" w:ascii="微软雅黑" w:hAnsi="微软雅黑" w:cs="宋体"/>
          <w:color w:val="333333"/>
          <w:spacing w:val="2"/>
          <w:sz w:val="24"/>
          <w:szCs w:val="24"/>
          <w:lang w:eastAsia="zh-CN"/>
        </w:rPr>
        <w:t>；</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8.体育用品及相关产品制造与销售；</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9.知名体育企业总部或营销、展示、设计中心；</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10.国内外品牌赛事；</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11.高水平职业体育俱乐部；</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12.体育广告与会展、体育培训与教育、体育传媒与信息服务；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13.体育场地设施建设与管理。</w:t>
      </w:r>
    </w:p>
    <w:p>
      <w:pPr>
        <w:adjustRightInd/>
        <w:snapToGrid/>
        <w:spacing w:after="300" w:line="525" w:lineRule="atLeast"/>
        <w:ind w:firstLine="484"/>
        <w:rPr>
          <w:rFonts w:hint="default" w:ascii="微软雅黑" w:hAnsi="微软雅黑" w:cs="宋体"/>
          <w:color w:val="333333"/>
          <w:spacing w:val="2"/>
          <w:sz w:val="24"/>
          <w:szCs w:val="24"/>
          <w:lang w:val="en-US" w:eastAsia="zh-CN"/>
        </w:rPr>
      </w:pP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八、现代物流</w:t>
      </w:r>
    </w:p>
    <w:p>
      <w:pPr>
        <w:adjustRightInd/>
        <w:snapToGrid/>
        <w:spacing w:after="300" w:line="525" w:lineRule="atLeast"/>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　　1.供应商库存管理、销售与运营计划、协同计划预测与补货等供应链管理服务及涵盖物流、商流、资金流及信息流的供应链增值服务；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2.城际干线运输、多式（海铁）联运、城际分拨配送服务；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3.以采购、集散、代理、分销、配送中心、结算一体化的现代分销、物流和供应链服务；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4.融合专业展示交易、分拨配送的多业种、多业态商贸物流服务；支撑电子商务发展的公共物流、海外仓及相关增值服务；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5.供应链与物流业务管理中心、单证管理中心、结算中心、数据中心，进行供应链物流技术、信息技术、移动互联、物联网、云计算、人工智能、区块链、大数据等新一代信息技术的开发与应用；</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6.支撑城市民生消费的城市配送、冷链物流、医药物流等,提供为战略性新兴产业以及制造、商贸、会展等关联产业配套的区域性采购分拨中心；</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7.以专有检测、检验等技术及其资质为基础的流通加工、物流配套服务；提供第三方支付、供应链金融、商品检测认证、担保、征信、保理、融资租赁等供应链增值服务；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8.大型多式联运平台、中转物流平台、网络货运平台、区域分拨平台、物流总部服务平台和公共物流信息平台；</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9.国内水上运输公司、国际海上运输、中转及航运服务；航空运输及其代理服务，分拨基地。</w:t>
      </w:r>
    </w:p>
    <w:p>
      <w:pPr>
        <w:adjustRightInd/>
        <w:snapToGrid/>
        <w:spacing w:after="300" w:line="525" w:lineRule="atLeast"/>
        <w:rPr>
          <w:rFonts w:ascii="微软雅黑" w:hAnsi="微软雅黑" w:cs="宋体"/>
          <w:color w:val="333333"/>
          <w:spacing w:val="2"/>
          <w:sz w:val="24"/>
          <w:szCs w:val="24"/>
        </w:rPr>
      </w:pP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九、软件和信息服务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1.基础软件：操作系统、数据库管理系统、中间件、通用办公软件、固件（BIOS）、开发支撑软件、少数民族语言文字编辑处理软件。</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2.研发设计类工业软件：虚拟仿真系统、计算机辅助设计（CAD）、计算机辅助工程（CAE）、计算机辅助制造（CAM）、计算机辅助工艺规划（CAPP）、建筑信息模型（BIM）、产品数据管理（PDM）软件。</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3.生产控制类工业软件：工业控制系统、制造执行系统（MES）、制造运行管理（MOM）、调度优化系统（ORION）、先进控制系统（APC）、安全仪表系统（SIS）、可编程控制器（PLC）。</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4.新兴技术软件：分布式计算、数据分析挖掘、可视化、数据采集清洗等大数据软件，人机交互、通用算法软件、基础算法库、工具链、机器学习和深度学习框架等人工智能软件，信息系统运行维护件，超级计算软件，区块链软件，工业互联网平台软件，云管理软件，虚拟化软件。</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5.信息安全软件：信息系统安全、网络安全、密码算法、数据安全、安全测试等方面的软件。</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6.重点行业应用软件：面向党政机关、国防、能源、交通、物流、通信、广电、医疗、建筑、制造业、应急、社保、农业、水利、教育、金融财税、知识产权、检验检测、科学研究、公共安全、节能环保、自然资源、城市管理、地理信息领域的专业应用软件。</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7.经营管理类工业软件：企业资源计划（ERP）、供应链管理（SCM）、客户关系管理（CRM）、人力资源管理（HEM）、企业资产管理（EAM）、产品生命周期管理（PLM）、运维综合保障管理（MRO）软件及相关云服务。</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8.公有云服务软件：大型公有云IaaS、PaaS服务件。</w:t>
      </w:r>
    </w:p>
    <w:p>
      <w:pPr>
        <w:adjustRightInd/>
        <w:snapToGrid/>
        <w:spacing w:after="300" w:line="525" w:lineRule="atLeast"/>
        <w:ind w:firstLine="488" w:firstLineChars="200"/>
        <w:rPr>
          <w:rFonts w:hint="eastAsia" w:ascii="微软雅黑" w:hAnsi="微软雅黑" w:cs="宋体"/>
          <w:color w:val="333333"/>
          <w:spacing w:val="2"/>
          <w:sz w:val="24"/>
          <w:szCs w:val="24"/>
        </w:rPr>
      </w:pPr>
      <w:r>
        <w:rPr>
          <w:rFonts w:hint="eastAsia" w:ascii="微软雅黑" w:hAnsi="微软雅黑" w:cs="宋体"/>
          <w:color w:val="333333"/>
          <w:spacing w:val="2"/>
          <w:sz w:val="24"/>
          <w:szCs w:val="24"/>
        </w:rPr>
        <w:t>9.嵌入式软件（软件收入比例不低于50％）：通信设备、汽车电子、交通监控设备、电子测量仪器、装备自动控制、电子医疗器械、计算机应用产品、终端设备等嵌入式软件及嵌入式软件开发环境相关软件。</w:t>
      </w:r>
    </w:p>
    <w:p>
      <w:pPr>
        <w:adjustRightInd/>
        <w:snapToGrid/>
        <w:spacing w:after="300" w:line="525" w:lineRule="atLeast"/>
        <w:rPr>
          <w:rFonts w:ascii="微软雅黑" w:hAnsi="微软雅黑" w:cs="宋体"/>
          <w:color w:val="333333"/>
          <w:spacing w:val="2"/>
          <w:sz w:val="24"/>
          <w:szCs w:val="24"/>
        </w:rPr>
      </w:pP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十、金融服务</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1.银行、证券、期货、保险、支付、金融控股集团等金融机构的全国性职能总部、金融配套服务机构，金融机构区域性分支机构；</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2.台港澳及境外金融机构设立合资或外资金融机构；</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3.小额贷款、融资担保、融资租赁、商业保理、地方资产管理等地方金融机构；</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4.产业基金、并购基金、创业投资、天使投资基金、S基金、私募股权投资、私募证券投资机构，各银行的私人银行部及证券、基金、期货等专项资产管理子公司等财富管理类机构；</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5.知识产权、股权、文化产权和环境排污权（碳排放等）、石材、农产品交易市场等各类交易场所；</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6.金融机构科技子公司、互联网金融科技公司、金融信息技术服务公司、金融科技技术研发机构、金融科技数据共享平台、金融科技产业孵化平台；</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7.从事绿色金融、供应链金融、航运金融、普惠金融、黄金金融等专业金融机构；</w:t>
      </w:r>
    </w:p>
    <w:p>
      <w:pPr>
        <w:adjustRightInd/>
        <w:snapToGrid/>
        <w:spacing w:after="300" w:line="525" w:lineRule="atLeast"/>
        <w:ind w:firstLine="488" w:firstLineChars="200"/>
        <w:rPr>
          <w:rFonts w:hint="eastAsia" w:ascii="微软雅黑" w:hAnsi="微软雅黑" w:cs="宋体"/>
          <w:color w:val="333333"/>
          <w:spacing w:val="2"/>
          <w:sz w:val="24"/>
          <w:szCs w:val="24"/>
        </w:rPr>
      </w:pPr>
    </w:p>
    <w:p>
      <w:pPr>
        <w:adjustRightInd/>
        <w:snapToGrid/>
        <w:spacing w:after="0"/>
        <w:outlineLvl w:val="1"/>
        <w:rPr>
          <w:rFonts w:hint="eastAsia" w:ascii="微软雅黑" w:hAnsi="微软雅黑" w:cs="宋体"/>
          <w:color w:val="333333"/>
          <w:spacing w:val="2"/>
          <w:sz w:val="24"/>
          <w:szCs w:val="24"/>
          <w:lang w:val="en-US" w:eastAsia="zh-CN"/>
        </w:rPr>
      </w:pPr>
      <w:r>
        <w:rPr>
          <w:rFonts w:hint="eastAsia" w:ascii="微软雅黑" w:hAnsi="微软雅黑" w:cs="宋体"/>
          <w:color w:val="4C4C4C"/>
          <w:spacing w:val="2"/>
          <w:sz w:val="36"/>
          <w:szCs w:val="36"/>
        </w:rPr>
        <w:t>　　十一、文化创意</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1.数字内容创意生产，包括动画创意、剧本和制作、网页游戏研发、手机游戏研发、数字人才培训等；</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2.数字内容集成传输，包括动漫游戏内容集成、传输、运营策划等服务；</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3.基于移动互联网的新媒体；</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4.工业设计：模型设计、包装设计；</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5.时尚设计：广告设计、服饰设计、品牌设计、跨界设计；</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6.其它专业设计：工艺美术品设计、建筑装饰设计、社会经济咨询；</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7.影视精品创作、影视拍摄、后期制作、影视发行放映、影视培训、影视衍生品研发、影视金融会展综合服务；</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8.演艺娱乐节目研发、表演和综合服务等；</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9.艺术品创作、交易和综合服务等；</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10.乐器、游艺设备、视听设备等文化装备生产；</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11.影视专用设备、舞台专用设备生产。</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12.网络视听产业相关内容制作和审核、技术服务和平台运营、教育培训、终端产品制造和展会活动；</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13.新闻服务、报纸信息服务、广播电视信息服务、互联网信息服务。</w:t>
      </w:r>
    </w:p>
    <w:p>
      <w:pPr>
        <w:adjustRightInd/>
        <w:snapToGrid/>
        <w:spacing w:after="300" w:line="525" w:lineRule="atLeast"/>
        <w:ind w:firstLine="465"/>
        <w:rPr>
          <w:rFonts w:ascii="微软雅黑" w:hAnsi="微软雅黑" w:cs="宋体"/>
          <w:color w:val="333333"/>
          <w:spacing w:val="2"/>
          <w:sz w:val="24"/>
          <w:szCs w:val="24"/>
        </w:rPr>
      </w:pP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十二、现代都市农业</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1.绿色、有机蔬菜、干鲜果品、茶叶栽培技术开发及产品生产;</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2.花卉生产与苗木基地的建设、运营;</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3.中药材种植、养殖;</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4.有机肥料资源新技术的开发、生产;</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5.休闲农业和乡村旅游;</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6.蔬菜、干鲜果品、畜禽产品精加工。</w:t>
      </w: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十三、海洋经济</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1.海洋生物毒素、抗生素、多糖、多肽、脂类等海洋药物，海洋中药原研药、首仿药及二次开发药；</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2.海洋新资源食品，海洋保健品和化妆品，海洋工业酶制剂，海洋微生态制剂，海洋生物材料，海洋生物育种和生物制品的开发及生产；</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3.海洋立体监测/探测装备、海洋工程装备核心部件/辅助支持设备及关键材料制造；</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4.深海资源勘探开发核心配套设备/部件及关键材料、海上污染与废弃物快速分离/回收/应急处置设备及配套材料制造；</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5.工厂化循环水养殖设备、深远海网箱养殖整装系统制造；</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6.海水淡化膜、海水淡化关键装备，一体化海岛或舰船用海水淡化装备制造；海水淡化示范工程；</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7.海洋产业公共服务平台、海洋科研及产业配套咨询、海洋教育服务；数字海洋、远洋科考、海洋遥感、海洋监测探测、海洋环境评价、海域使用论证服务；</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8.渔港港汊升级改造，现代水产加工；</w:t>
      </w:r>
    </w:p>
    <w:p>
      <w:pPr>
        <w:adjustRightInd/>
        <w:snapToGrid/>
        <w:spacing w:after="300" w:line="525" w:lineRule="atLeast"/>
        <w:ind w:firstLine="488" w:firstLineChars="200"/>
        <w:rPr>
          <w:rFonts w:hint="eastAsia" w:ascii="微软雅黑" w:hAnsi="微软雅黑" w:cs="宋体"/>
          <w:color w:val="333333"/>
          <w:spacing w:val="2"/>
          <w:sz w:val="24"/>
          <w:szCs w:val="24"/>
          <w:lang w:val="en-US" w:eastAsia="zh-CN"/>
        </w:rPr>
      </w:pPr>
      <w:r>
        <w:rPr>
          <w:rFonts w:hint="eastAsia" w:ascii="微软雅黑" w:hAnsi="微软雅黑" w:cs="宋体"/>
          <w:color w:val="333333"/>
          <w:spacing w:val="2"/>
          <w:sz w:val="24"/>
          <w:szCs w:val="24"/>
          <w:lang w:val="en-US" w:eastAsia="zh-CN"/>
        </w:rPr>
        <w:t>9.海洋生态修复：包括滨海湿地公园、海岛生态公园、国家海洋公园；海湾综合整治、海域清淤、海滩生态修复等。</w:t>
      </w:r>
    </w:p>
    <w:p>
      <w:pPr>
        <w:adjustRightInd/>
        <w:snapToGrid/>
        <w:spacing w:after="0"/>
        <w:outlineLvl w:val="1"/>
        <w:rPr>
          <w:rFonts w:ascii="微软雅黑" w:hAnsi="微软雅黑" w:cs="宋体"/>
          <w:color w:val="4C4C4C"/>
          <w:spacing w:val="2"/>
          <w:sz w:val="36"/>
          <w:szCs w:val="36"/>
        </w:rPr>
      </w:pPr>
      <w:r>
        <w:rPr>
          <w:rFonts w:hint="eastAsia" w:ascii="微软雅黑" w:hAnsi="微软雅黑" w:cs="宋体"/>
          <w:color w:val="4C4C4C"/>
          <w:spacing w:val="2"/>
          <w:sz w:val="36"/>
          <w:szCs w:val="36"/>
        </w:rPr>
        <w:t>　　十四、其它</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1.不属于上述产业领域，但属于厦门重点发展产业关联的产业，以及伴随技术进步衍生的新产业、新业态、新模式产业项目，由区发改局会同有关部门共同认定。</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2.外商投资项目必须符合《外商投资产业指导目录(2017年修订)》相关规定要求。</w:t>
      </w:r>
    </w:p>
    <w:p>
      <w:pPr>
        <w:adjustRightInd/>
        <w:snapToGrid/>
        <w:spacing w:after="300" w:line="525" w:lineRule="atLeast"/>
        <w:rPr>
          <w:rFonts w:ascii="微软雅黑" w:hAnsi="微软雅黑" w:cs="宋体"/>
          <w:color w:val="333333"/>
          <w:spacing w:val="2"/>
          <w:sz w:val="24"/>
          <w:szCs w:val="24"/>
        </w:rPr>
      </w:pPr>
      <w:r>
        <w:rPr>
          <w:rFonts w:hint="eastAsia" w:ascii="微软雅黑" w:hAnsi="微软雅黑" w:cs="宋体"/>
          <w:color w:val="333333"/>
          <w:spacing w:val="2"/>
          <w:sz w:val="24"/>
          <w:szCs w:val="24"/>
        </w:rPr>
        <w:t>　</w:t>
      </w:r>
    </w:p>
    <w:p>
      <w:pPr>
        <w:spacing w:line="220" w:lineRule="atLeast"/>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51908"/>
      <w:docPartObj>
        <w:docPartGallery w:val="autotext"/>
      </w:docPartObj>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11E4E"/>
    <w:rsid w:val="00323B43"/>
    <w:rsid w:val="003559DC"/>
    <w:rsid w:val="003938B9"/>
    <w:rsid w:val="003D37D8"/>
    <w:rsid w:val="003E7777"/>
    <w:rsid w:val="003F51C5"/>
    <w:rsid w:val="00426133"/>
    <w:rsid w:val="004358AB"/>
    <w:rsid w:val="005A6A27"/>
    <w:rsid w:val="005D511D"/>
    <w:rsid w:val="00776E0C"/>
    <w:rsid w:val="00892342"/>
    <w:rsid w:val="008B7726"/>
    <w:rsid w:val="00A36BCC"/>
    <w:rsid w:val="00A86857"/>
    <w:rsid w:val="00D31D50"/>
    <w:rsid w:val="00DD5D7C"/>
    <w:rsid w:val="00E005BA"/>
    <w:rsid w:val="00F47B2E"/>
    <w:rsid w:val="01FD7068"/>
    <w:rsid w:val="1FF70E54"/>
    <w:rsid w:val="55432AB1"/>
    <w:rsid w:val="63B86BC4"/>
    <w:rsid w:val="65CA0E33"/>
    <w:rsid w:val="677B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2"/>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rFonts w:ascii="Tahoma" w:hAnsi="Tahoma"/>
      <w:sz w:val="18"/>
      <w:szCs w:val="18"/>
    </w:rPr>
  </w:style>
  <w:style w:type="character" w:customStyle="1" w:styleId="11">
    <w:name w:val="页脚 Char"/>
    <w:basedOn w:val="7"/>
    <w:link w:val="3"/>
    <w:qFormat/>
    <w:uiPriority w:val="99"/>
    <w:rPr>
      <w:rFonts w:ascii="Tahoma" w:hAnsi="Tahoma"/>
      <w:sz w:val="18"/>
      <w:szCs w:val="18"/>
    </w:rPr>
  </w:style>
  <w:style w:type="character" w:customStyle="1" w:styleId="12">
    <w:name w:val="标题 2 Char"/>
    <w:basedOn w:val="7"/>
    <w:link w:val="2"/>
    <w:qFormat/>
    <w:uiPriority w:val="9"/>
    <w:rPr>
      <w:rFonts w:ascii="宋体" w:hAnsi="宋体" w:eastAsia="宋体" w:cs="宋体"/>
      <w:b/>
      <w:bCs/>
      <w:sz w:val="36"/>
      <w:szCs w:val="36"/>
    </w:rPr>
  </w:style>
  <w:style w:type="paragraph" w:customStyle="1" w:styleId="13">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947</Words>
  <Characters>5401</Characters>
  <Lines>45</Lines>
  <Paragraphs>12</Paragraphs>
  <TotalTime>221</TotalTime>
  <ScaleCrop>false</ScaleCrop>
  <LinksUpToDate>false</LinksUpToDate>
  <CharactersWithSpaces>6336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2019-04-23T03:18:00Z</dcterms:created>
  <dc:creator>Administrator</dc:creator>
  <cp:lastModifiedBy>sunny</cp:lastModifiedBy>
  <cp:lastPrinted>2021-07-19T07:05:00Z</cp:lastPrinted>
  <dcterms:modified xsi:type="dcterms:W3CDTF">2021-07-22T01:44:37Z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6770AE277CDE416DB9224DE0DC56F5FB</vt:lpwstr>
  </property>
</Properties>
</file>